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B6464">
      <w:pPr>
        <w:spacing w:before="162" w:line="228" w:lineRule="auto"/>
        <w:ind w:left="48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21"/>
          <w:sz w:val="32"/>
          <w:szCs w:val="32"/>
          <w:highlight w:val="none"/>
        </w:rPr>
        <w:t>附</w:t>
      </w:r>
      <w:r>
        <w:rPr>
          <w:rFonts w:hint="eastAsia" w:ascii="仿宋" w:hAnsi="仿宋" w:eastAsia="仿宋" w:cs="仿宋"/>
          <w:color w:val="auto"/>
          <w:spacing w:val="-18"/>
          <w:sz w:val="32"/>
          <w:szCs w:val="32"/>
          <w:highlight w:val="none"/>
        </w:rPr>
        <w:t xml:space="preserve">件 </w:t>
      </w:r>
      <w:r>
        <w:rPr>
          <w:rFonts w:hint="eastAsia" w:ascii="仿宋" w:hAnsi="仿宋" w:eastAsia="仿宋" w:cs="仿宋"/>
          <w:color w:val="auto"/>
          <w:spacing w:val="-18"/>
          <w:sz w:val="32"/>
          <w:szCs w:val="32"/>
          <w:highlight w:val="none"/>
          <w:lang w:val="en-US" w:eastAsia="zh-CN"/>
        </w:rPr>
        <w:t>2</w:t>
      </w:r>
    </w:p>
    <w:p w14:paraId="57B8822D">
      <w:pPr>
        <w:spacing w:line="241" w:lineRule="auto"/>
        <w:rPr>
          <w:rFonts w:ascii="Arial"/>
          <w:color w:val="auto"/>
          <w:sz w:val="21"/>
          <w:highlight w:val="none"/>
        </w:rPr>
      </w:pPr>
    </w:p>
    <w:p w14:paraId="464F142D">
      <w:pPr>
        <w:spacing w:line="241" w:lineRule="auto"/>
        <w:rPr>
          <w:rFonts w:ascii="Arial"/>
          <w:color w:val="auto"/>
          <w:sz w:val="21"/>
          <w:highlight w:val="none"/>
        </w:rPr>
      </w:pPr>
    </w:p>
    <w:p w14:paraId="7D59E97F">
      <w:pPr>
        <w:spacing w:line="242" w:lineRule="auto"/>
        <w:rPr>
          <w:rFonts w:ascii="Arial"/>
          <w:color w:val="auto"/>
          <w:sz w:val="21"/>
          <w:highlight w:val="none"/>
        </w:rPr>
      </w:pPr>
    </w:p>
    <w:p w14:paraId="313BF68E">
      <w:pPr>
        <w:spacing w:before="114" w:line="226" w:lineRule="auto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12"/>
          <w:sz w:val="44"/>
          <w:szCs w:val="44"/>
          <w:highlight w:val="none"/>
        </w:rPr>
        <w:t>会</w:t>
      </w:r>
      <w:r>
        <w:rPr>
          <w:rFonts w:hint="eastAsia" w:ascii="宋体" w:hAnsi="宋体" w:eastAsia="宋体" w:cs="宋体"/>
          <w:b/>
          <w:bCs/>
          <w:color w:val="auto"/>
          <w:spacing w:val="8"/>
          <w:sz w:val="44"/>
          <w:szCs w:val="44"/>
          <w:highlight w:val="none"/>
        </w:rPr>
        <w:t>费缴纳操作说明</w:t>
      </w:r>
    </w:p>
    <w:p w14:paraId="1284DA0F">
      <w:pPr>
        <w:spacing w:line="346" w:lineRule="auto"/>
        <w:rPr>
          <w:rFonts w:ascii="Arial"/>
          <w:color w:val="auto"/>
          <w:sz w:val="21"/>
          <w:highlight w:val="none"/>
        </w:rPr>
      </w:pPr>
    </w:p>
    <w:p w14:paraId="78C12E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86" w:lineRule="auto"/>
        <w:ind w:right="289"/>
        <w:jc w:val="both"/>
        <w:textAlignment w:val="baseline"/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14"/>
          <w:sz w:val="31"/>
          <w:szCs w:val="31"/>
          <w:highlight w:val="none"/>
        </w:rPr>
        <w:t>单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位会员会费、执业个人会员会费缴费流程如下：</w:t>
      </w:r>
    </w:p>
    <w:p w14:paraId="45E0EB1C">
      <w:pPr>
        <w:spacing w:line="292" w:lineRule="auto"/>
        <w:ind w:left="44" w:right="16" w:firstLine="623"/>
        <w:rPr>
          <w:rFonts w:hint="eastAsia" w:ascii="仿宋" w:hAnsi="仿宋" w:eastAsia="仿宋" w:cs="仿宋"/>
          <w:color w:val="auto"/>
          <w:sz w:val="31"/>
          <w:szCs w:val="31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16"/>
          <w:sz w:val="31"/>
          <w:szCs w:val="31"/>
          <w:highlight w:val="none"/>
        </w:rPr>
        <w:t>第一</w:t>
      </w:r>
      <w:r>
        <w:rPr>
          <w:rFonts w:ascii="黑体" w:hAnsi="黑体" w:eastAsia="黑体" w:cs="黑体"/>
          <w:color w:val="auto"/>
          <w:spacing w:val="10"/>
          <w:sz w:val="31"/>
          <w:szCs w:val="31"/>
          <w:highlight w:val="none"/>
        </w:rPr>
        <w:t>步</w:t>
      </w:r>
      <w:r>
        <w:rPr>
          <w:rFonts w:ascii="黑体" w:hAnsi="黑体" w:eastAsia="黑体" w:cs="黑体"/>
          <w:color w:val="auto"/>
          <w:spacing w:val="8"/>
          <w:sz w:val="31"/>
          <w:szCs w:val="31"/>
          <w:highlight w:val="none"/>
        </w:rPr>
        <w:t>：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登录中国土地估价师与土地登记代理人协会综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 xml:space="preserve"> </w:t>
      </w:r>
      <w:r>
        <w:rPr>
          <w:rFonts w:ascii="仿宋" w:hAnsi="仿宋" w:eastAsia="仿宋" w:cs="仿宋"/>
          <w:color w:val="auto"/>
          <w:spacing w:val="14"/>
          <w:sz w:val="31"/>
          <w:szCs w:val="31"/>
          <w:highlight w:val="none"/>
        </w:rPr>
        <w:t>合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服务平台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eastAsia="zh-CN"/>
        </w:rPr>
        <w:t>（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网址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</w:rPr>
        <w:t xml:space="preserve"> 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http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://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platform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.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creva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.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org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.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cn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/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org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/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eastAsia="zh-CN"/>
        </w:rPr>
        <w:t>）。</w:t>
      </w:r>
    </w:p>
    <w:p w14:paraId="07E653ED">
      <w:pPr>
        <w:spacing w:line="3479" w:lineRule="exact"/>
        <w:ind w:firstLine="14"/>
        <w:textAlignment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125085" cy="2209165"/>
            <wp:effectExtent l="0" t="0" r="18415" b="635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5211" cy="2209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602AF">
      <w:pPr>
        <w:spacing w:before="286" w:line="225" w:lineRule="auto"/>
        <w:ind w:left="674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执</w:t>
      </w:r>
      <w:r>
        <w:rPr>
          <w:rFonts w:ascii="仿宋" w:hAnsi="仿宋" w:eastAsia="仿宋" w:cs="仿宋"/>
          <w:color w:val="auto"/>
          <w:spacing w:val="14"/>
          <w:sz w:val="31"/>
          <w:szCs w:val="31"/>
          <w:highlight w:val="none"/>
        </w:rPr>
        <w:t>业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个人会员会费缴纳也由所在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估价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机构入口登录。</w:t>
      </w:r>
    </w:p>
    <w:p w14:paraId="34B1E580">
      <w:pPr>
        <w:spacing w:line="241" w:lineRule="auto"/>
        <w:rPr>
          <w:rFonts w:ascii="Arial"/>
          <w:color w:val="auto"/>
          <w:sz w:val="21"/>
          <w:highlight w:val="none"/>
        </w:rPr>
      </w:pPr>
    </w:p>
    <w:p w14:paraId="7B79E10B">
      <w:pPr>
        <w:spacing w:before="1" w:line="4373" w:lineRule="exact"/>
        <w:ind w:firstLine="206"/>
        <w:textAlignment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020945" cy="2776220"/>
            <wp:effectExtent l="0" t="0" r="8255" b="508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1579" cy="277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6E11F">
      <w:pPr>
        <w:rPr>
          <w:color w:val="auto"/>
          <w:highlight w:val="none"/>
        </w:rPr>
        <w:sectPr>
          <w:footerReference r:id="rId3" w:type="default"/>
          <w:pgSz w:w="11906" w:h="16839"/>
          <w:pgMar w:top="1431" w:right="1785" w:bottom="1151" w:left="1785" w:header="0" w:footer="989" w:gutter="0"/>
          <w:cols w:space="720" w:num="1"/>
        </w:sectPr>
      </w:pPr>
    </w:p>
    <w:p w14:paraId="3CD00FC7">
      <w:pPr>
        <w:spacing w:before="64" w:line="229" w:lineRule="auto"/>
        <w:ind w:left="667"/>
        <w:rPr>
          <w:rFonts w:hint="eastAsia" w:ascii="仿宋" w:hAnsi="仿宋" w:eastAsia="仿宋" w:cs="仿宋"/>
          <w:color w:val="auto"/>
          <w:sz w:val="31"/>
          <w:szCs w:val="31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9"/>
          <w:sz w:val="31"/>
          <w:szCs w:val="31"/>
          <w:highlight w:val="none"/>
        </w:rPr>
        <w:t>第二步：</w:t>
      </w:r>
      <w:r>
        <w:rPr>
          <w:rFonts w:ascii="仿宋" w:hAnsi="仿宋" w:eastAsia="仿宋" w:cs="仿宋"/>
          <w:color w:val="auto"/>
          <w:spacing w:val="9"/>
          <w:sz w:val="31"/>
          <w:szCs w:val="31"/>
          <w:highlight w:val="none"/>
        </w:rPr>
        <w:t>绑定【机构联络员】微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信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eastAsia="zh-CN"/>
        </w:rPr>
        <w:t>。</w:t>
      </w:r>
    </w:p>
    <w:p w14:paraId="7998068A">
      <w:pPr>
        <w:spacing w:before="238" w:afterAutospacing="0" w:line="372" w:lineRule="auto"/>
        <w:ind w:left="35" w:right="13" w:firstLine="642"/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val="en-US" w:eastAsia="zh-CN"/>
        </w:rPr>
        <w:t>首次登录综合服务平台的机构需先进行联络员信息绑定，已完成绑定的机构系统将跳过此步骤。</w:t>
      </w:r>
    </w:p>
    <w:p w14:paraId="3ED1E4E9">
      <w:pPr>
        <w:spacing w:beforeAutospacing="0" w:line="372" w:lineRule="auto"/>
        <w:ind w:left="35" w:right="13" w:firstLine="642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各单位设机构联络员1名，机构联络员需为各单</w:t>
      </w:r>
      <w:r>
        <w:rPr>
          <w:rFonts w:ascii="仿宋" w:hAnsi="仿宋" w:eastAsia="仿宋" w:cs="仿宋"/>
          <w:color w:val="auto"/>
          <w:spacing w:val="1"/>
          <w:sz w:val="31"/>
          <w:szCs w:val="31"/>
          <w:highlight w:val="none"/>
        </w:rPr>
        <w:t>位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的正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式员</w:t>
      </w:r>
      <w:r>
        <w:rPr>
          <w:rFonts w:ascii="仿宋" w:hAnsi="仿宋" w:eastAsia="仿宋" w:cs="仿宋"/>
          <w:color w:val="auto"/>
          <w:spacing w:val="9"/>
          <w:sz w:val="31"/>
          <w:szCs w:val="31"/>
          <w:highlight w:val="none"/>
        </w:rPr>
        <w:t>工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，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中估协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将通过机构联络员微信进行信息沟通。机构联络员发生人事变动时，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请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重新绑定进行变更</w:t>
      </w:r>
      <w:r>
        <w:rPr>
          <w:rFonts w:ascii="仿宋" w:hAnsi="仿宋" w:eastAsia="仿宋" w:cs="仿宋"/>
          <w:color w:val="auto"/>
          <w:spacing w:val="5"/>
          <w:sz w:val="31"/>
          <w:szCs w:val="31"/>
          <w:highlight w:val="none"/>
        </w:rPr>
        <w:t>。</w:t>
      </w:r>
    </w:p>
    <w:p w14:paraId="74CF86FE">
      <w:pPr>
        <w:spacing w:before="134" w:line="3960" w:lineRule="exact"/>
        <w:ind w:firstLine="14"/>
        <w:textAlignment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265420" cy="2514600"/>
            <wp:effectExtent l="0" t="0" r="1143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1C2DC">
      <w:pPr>
        <w:rPr>
          <w:rFonts w:ascii="Arial"/>
          <w:color w:val="auto"/>
          <w:sz w:val="21"/>
          <w:highlight w:val="none"/>
        </w:rPr>
      </w:pPr>
    </w:p>
    <w:p w14:paraId="03998687">
      <w:pPr>
        <w:spacing w:before="100" w:line="229" w:lineRule="auto"/>
        <w:ind w:left="667"/>
        <w:rPr>
          <w:rFonts w:hint="eastAsia" w:ascii="仿宋" w:hAnsi="仿宋" w:eastAsia="仿宋" w:cs="仿宋"/>
          <w:color w:val="auto"/>
          <w:sz w:val="31"/>
          <w:szCs w:val="31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16"/>
          <w:sz w:val="31"/>
          <w:szCs w:val="31"/>
          <w:highlight w:val="none"/>
        </w:rPr>
        <w:t>第</w:t>
      </w:r>
      <w:r>
        <w:rPr>
          <w:rFonts w:ascii="黑体" w:hAnsi="黑体" w:eastAsia="黑体" w:cs="黑体"/>
          <w:color w:val="auto"/>
          <w:spacing w:val="12"/>
          <w:sz w:val="31"/>
          <w:szCs w:val="31"/>
          <w:highlight w:val="none"/>
        </w:rPr>
        <w:t>三</w:t>
      </w:r>
      <w:r>
        <w:rPr>
          <w:rFonts w:ascii="黑体" w:hAnsi="黑体" w:eastAsia="黑体" w:cs="黑体"/>
          <w:color w:val="auto"/>
          <w:spacing w:val="8"/>
          <w:sz w:val="31"/>
          <w:szCs w:val="31"/>
          <w:highlight w:val="none"/>
        </w:rPr>
        <w:t>步：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进入系统后点击【会费服务】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eastAsia="zh-CN"/>
        </w:rPr>
        <w:t>。</w:t>
      </w:r>
    </w:p>
    <w:p w14:paraId="00122AF4">
      <w:pPr>
        <w:spacing w:before="101" w:line="4622" w:lineRule="exact"/>
        <w:ind w:firstLine="14"/>
        <w:textAlignment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262245" cy="2934970"/>
            <wp:effectExtent l="0" t="0" r="14605" b="1778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93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8EDFE">
      <w:pPr>
        <w:rPr>
          <w:color w:val="auto"/>
          <w:highlight w:val="none"/>
        </w:rPr>
        <w:sectPr>
          <w:footerReference r:id="rId4" w:type="default"/>
          <w:pgSz w:w="11906" w:h="16839"/>
          <w:pgMar w:top="904" w:right="1785" w:bottom="1152" w:left="1785" w:header="0" w:footer="989" w:gutter="0"/>
          <w:cols w:space="720" w:num="1"/>
        </w:sectPr>
      </w:pPr>
    </w:p>
    <w:p w14:paraId="053E5FCD">
      <w:pPr>
        <w:spacing w:before="64" w:line="229" w:lineRule="auto"/>
        <w:ind w:firstLine="676" w:firstLineChars="200"/>
        <w:rPr>
          <w:rFonts w:hint="eastAsia" w:ascii="仿宋" w:hAnsi="仿宋" w:eastAsia="仿宋" w:cs="仿宋"/>
          <w:color w:val="auto"/>
          <w:sz w:val="31"/>
          <w:szCs w:val="31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14"/>
          <w:sz w:val="31"/>
          <w:szCs w:val="31"/>
          <w:highlight w:val="none"/>
        </w:rPr>
        <w:t>第</w:t>
      </w:r>
      <w:r>
        <w:rPr>
          <w:rFonts w:ascii="黑体" w:hAnsi="黑体" w:eastAsia="黑体" w:cs="黑体"/>
          <w:color w:val="auto"/>
          <w:spacing w:val="8"/>
          <w:sz w:val="31"/>
          <w:szCs w:val="31"/>
          <w:highlight w:val="none"/>
        </w:rPr>
        <w:t>四步：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点击【生成缴费清单】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eastAsia="zh-CN"/>
        </w:rPr>
        <w:t>。</w:t>
      </w:r>
    </w:p>
    <w:p w14:paraId="52FB23D6">
      <w:pPr>
        <w:spacing w:before="105" w:line="5580" w:lineRule="exact"/>
        <w:ind w:firstLine="14"/>
        <w:textAlignment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266690" cy="3543300"/>
            <wp:effectExtent l="0" t="0" r="1016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3AC47">
      <w:pPr>
        <w:spacing w:line="345" w:lineRule="auto"/>
        <w:rPr>
          <w:rFonts w:ascii="Arial"/>
          <w:color w:val="auto"/>
          <w:sz w:val="21"/>
          <w:highlight w:val="none"/>
        </w:rPr>
      </w:pPr>
    </w:p>
    <w:p w14:paraId="00AB9F26">
      <w:pPr>
        <w:spacing w:before="100" w:line="229" w:lineRule="auto"/>
        <w:ind w:left="667"/>
        <w:rPr>
          <w:rFonts w:hint="eastAsia" w:ascii="仿宋" w:hAnsi="仿宋" w:eastAsia="仿宋" w:cs="仿宋"/>
          <w:color w:val="auto"/>
          <w:sz w:val="31"/>
          <w:szCs w:val="31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11"/>
          <w:sz w:val="31"/>
          <w:szCs w:val="31"/>
          <w:highlight w:val="none"/>
        </w:rPr>
        <w:t>第</w:t>
      </w:r>
      <w:r>
        <w:rPr>
          <w:rFonts w:ascii="黑体" w:hAnsi="黑体" w:eastAsia="黑体" w:cs="黑体"/>
          <w:color w:val="auto"/>
          <w:spacing w:val="9"/>
          <w:sz w:val="31"/>
          <w:szCs w:val="31"/>
          <w:highlight w:val="none"/>
        </w:rPr>
        <w:t>五步：</w:t>
      </w:r>
      <w:r>
        <w:rPr>
          <w:rFonts w:ascii="仿宋" w:hAnsi="仿宋" w:eastAsia="仿宋" w:cs="仿宋"/>
          <w:color w:val="auto"/>
          <w:spacing w:val="9"/>
          <w:sz w:val="31"/>
          <w:szCs w:val="31"/>
          <w:highlight w:val="none"/>
        </w:rPr>
        <w:t>勾选应缴费会员，生成缴费清单</w:t>
      </w:r>
      <w:r>
        <w:rPr>
          <w:rFonts w:hint="eastAsia" w:ascii="仿宋" w:hAnsi="仿宋" w:eastAsia="仿宋" w:cs="仿宋"/>
          <w:color w:val="auto"/>
          <w:spacing w:val="9"/>
          <w:sz w:val="31"/>
          <w:szCs w:val="31"/>
          <w:highlight w:val="none"/>
          <w:lang w:eastAsia="zh-CN"/>
        </w:rPr>
        <w:t>。</w:t>
      </w:r>
    </w:p>
    <w:p w14:paraId="15D5351C">
      <w:pPr>
        <w:spacing w:before="240" w:line="624" w:lineRule="exact"/>
        <w:ind w:left="717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8"/>
          <w:position w:val="23"/>
          <w:sz w:val="31"/>
          <w:szCs w:val="31"/>
          <w:highlight w:val="none"/>
        </w:rPr>
        <w:t>中</w:t>
      </w:r>
      <w:r>
        <w:rPr>
          <w:rFonts w:ascii="仿宋" w:hAnsi="仿宋" w:eastAsia="仿宋" w:cs="仿宋"/>
          <w:color w:val="auto"/>
          <w:spacing w:val="7"/>
          <w:position w:val="23"/>
          <w:sz w:val="31"/>
          <w:szCs w:val="31"/>
          <w:highlight w:val="none"/>
        </w:rPr>
        <w:t>估协单位会员需点选【单位会费+个人会费】、非中</w:t>
      </w:r>
    </w:p>
    <w:p w14:paraId="5D872B99">
      <w:pPr>
        <w:spacing w:before="1" w:line="225" w:lineRule="auto"/>
        <w:ind w:left="40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估协单位会员只点选需缴费的人员即可</w:t>
      </w:r>
      <w:r>
        <w:rPr>
          <w:rFonts w:ascii="仿宋" w:hAnsi="仿宋" w:eastAsia="仿宋" w:cs="仿宋"/>
          <w:color w:val="auto"/>
          <w:spacing w:val="5"/>
          <w:sz w:val="31"/>
          <w:szCs w:val="31"/>
          <w:highlight w:val="none"/>
        </w:rPr>
        <w:t>。</w:t>
      </w:r>
    </w:p>
    <w:p w14:paraId="58568E1D">
      <w:pPr>
        <w:spacing w:before="124" w:line="3977" w:lineRule="exact"/>
        <w:ind w:firstLine="14"/>
        <w:textAlignment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257800" cy="2524760"/>
            <wp:effectExtent l="0" t="0" r="0" b="889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2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A6936">
      <w:pPr>
        <w:rPr>
          <w:color w:val="auto"/>
          <w:highlight w:val="none"/>
        </w:rPr>
      </w:pPr>
    </w:p>
    <w:p w14:paraId="6B151C78">
      <w:pPr>
        <w:rPr>
          <w:color w:val="auto"/>
          <w:highlight w:val="none"/>
        </w:rPr>
      </w:pPr>
    </w:p>
    <w:p w14:paraId="051BBE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0" w:line="624" w:lineRule="exact"/>
        <w:ind w:firstLine="652" w:firstLineChars="200"/>
        <w:textAlignment w:val="baseline"/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如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待缴费</w:t>
      </w: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人员未在列表中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，</w:t>
      </w: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可能为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未完成初始登记或</w:t>
      </w: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执业登记未转入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所在机构</w:t>
      </w: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，请在完成“估价机构备案系统”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备案</w:t>
      </w: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人员变更后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以个人会员用户</w:t>
      </w: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登录“综合服务平台”，选择“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会员入会/</w:t>
      </w: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执业登记”办理人员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初始/转移登记</w:t>
      </w: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。人员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登记申请</w:t>
      </w:r>
      <w:r>
        <w:rPr>
          <w:rFonts w:hint="default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审核通过后可刷新机构缴费界面人员列表，人员将出现在列表中。</w:t>
      </w:r>
    </w:p>
    <w:p w14:paraId="32271729">
      <w:pPr>
        <w:spacing w:before="100" w:line="229" w:lineRule="auto"/>
        <w:ind w:left="667"/>
        <w:rPr>
          <w:rFonts w:hint="eastAsia" w:ascii="黑体" w:hAnsi="黑体" w:eastAsia="黑体" w:cs="黑体"/>
          <w:color w:val="auto"/>
          <w:spacing w:val="11"/>
          <w:sz w:val="31"/>
          <w:szCs w:val="31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11"/>
          <w:sz w:val="31"/>
          <w:szCs w:val="31"/>
          <w:highlight w:val="none"/>
        </w:rPr>
        <w:t>第六步：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核实信息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eastAsia="zh-CN"/>
        </w:rPr>
        <w:t>。</w:t>
      </w:r>
    </w:p>
    <w:p w14:paraId="30753154">
      <w:pPr>
        <w:spacing w:before="122" w:line="3976" w:lineRule="exact"/>
        <w:ind w:firstLine="14"/>
        <w:textAlignment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267960" cy="2524760"/>
            <wp:effectExtent l="0" t="0" r="8890" b="889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252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3AAF8">
      <w:pPr>
        <w:spacing w:before="198" w:line="229" w:lineRule="auto"/>
        <w:ind w:left="667"/>
        <w:rPr>
          <w:rFonts w:ascii="黑体" w:hAnsi="黑体" w:eastAsia="黑体" w:cs="黑体"/>
          <w:color w:val="auto"/>
          <w:spacing w:val="9"/>
          <w:sz w:val="10"/>
          <w:szCs w:val="10"/>
          <w:highlight w:val="none"/>
        </w:rPr>
      </w:pPr>
    </w:p>
    <w:p w14:paraId="6A017ED4">
      <w:pPr>
        <w:spacing w:before="198" w:line="229" w:lineRule="auto"/>
        <w:ind w:left="667"/>
        <w:rPr>
          <w:rFonts w:hint="eastAsia" w:ascii="仿宋" w:hAnsi="仿宋" w:eastAsia="仿宋" w:cs="仿宋"/>
          <w:color w:val="auto"/>
          <w:sz w:val="31"/>
          <w:szCs w:val="31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9"/>
          <w:sz w:val="31"/>
          <w:szCs w:val="31"/>
          <w:highlight w:val="none"/>
        </w:rPr>
        <w:t>第</w:t>
      </w:r>
      <w:r>
        <w:rPr>
          <w:rFonts w:ascii="黑体" w:hAnsi="黑体" w:eastAsia="黑体" w:cs="黑体"/>
          <w:color w:val="auto"/>
          <w:spacing w:val="8"/>
          <w:sz w:val="31"/>
          <w:szCs w:val="31"/>
          <w:highlight w:val="none"/>
        </w:rPr>
        <w:t>七步：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完成缴费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eastAsia="zh-CN"/>
        </w:rPr>
        <w:t>。</w:t>
      </w:r>
    </w:p>
    <w:p w14:paraId="4E190EC2">
      <w:pPr>
        <w:spacing w:before="239" w:line="229" w:lineRule="auto"/>
        <w:ind w:left="675"/>
        <w:rPr>
          <w:rFonts w:hint="default" w:ascii="黑体" w:hAnsi="黑体" w:eastAsia="黑体" w:cs="黑体"/>
          <w:color w:val="auto"/>
          <w:spacing w:val="9"/>
          <w:sz w:val="10"/>
          <w:szCs w:val="10"/>
          <w:highlight w:val="none"/>
        </w:rPr>
      </w:pP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按照系统提示的缴费方式及时汇款。</w:t>
      </w:r>
    </w:p>
    <w:p w14:paraId="472C441E">
      <w:pPr>
        <w:spacing w:before="241" w:line="624" w:lineRule="exact"/>
        <w:ind w:left="0" w:leftChars="0" w:firstLine="636" w:firstLineChars="200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黑体" w:hAnsi="黑体" w:eastAsia="黑体" w:cs="黑体"/>
          <w:color w:val="auto"/>
          <w:spacing w:val="4"/>
          <w:position w:val="22"/>
          <w:sz w:val="31"/>
          <w:szCs w:val="31"/>
          <w:highlight w:val="none"/>
        </w:rPr>
        <w:t>第八</w:t>
      </w:r>
      <w:r>
        <w:rPr>
          <w:rFonts w:ascii="黑体" w:hAnsi="黑体" w:eastAsia="黑体" w:cs="黑体"/>
          <w:color w:val="auto"/>
          <w:spacing w:val="2"/>
          <w:position w:val="22"/>
          <w:sz w:val="31"/>
          <w:szCs w:val="31"/>
          <w:highlight w:val="none"/>
        </w:rPr>
        <w:t>步：</w:t>
      </w:r>
      <w:r>
        <w:rPr>
          <w:rFonts w:ascii="仿宋" w:hAnsi="仿宋" w:eastAsia="仿宋" w:cs="仿宋"/>
          <w:color w:val="auto"/>
          <w:spacing w:val="8"/>
          <w:position w:val="23"/>
          <w:sz w:val="31"/>
          <w:szCs w:val="31"/>
          <w:highlight w:val="none"/>
        </w:rPr>
        <w:t>汇款完成后、再次登录系统，进入【会费服务】界面，找到之前生成的缴费清单、点击【确认】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eastAsia="zh-CN"/>
        </w:rPr>
        <w:t>。</w:t>
      </w:r>
    </w:p>
    <w:p w14:paraId="50164041">
      <w:pPr>
        <w:spacing w:before="0" w:line="228" w:lineRule="auto"/>
        <w:ind w:left="35" w:firstLine="0"/>
        <w:textAlignment w:val="auto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250180" cy="2942590"/>
            <wp:effectExtent l="0" t="0" r="7620" b="1016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11D19">
      <w:pPr>
        <w:spacing w:before="241" w:afterAutospacing="0" w:line="624" w:lineRule="exact"/>
        <w:ind w:left="0" w:leftChars="0" w:firstLine="636" w:firstLineChars="200"/>
        <w:rPr>
          <w:rFonts w:ascii="仿宋" w:hAnsi="仿宋" w:eastAsia="仿宋" w:cs="仿宋"/>
          <w:color w:val="auto"/>
          <w:spacing w:val="8"/>
          <w:position w:val="23"/>
          <w:sz w:val="31"/>
          <w:szCs w:val="31"/>
          <w:highlight w:val="none"/>
        </w:rPr>
      </w:pPr>
      <w:r>
        <w:rPr>
          <w:rFonts w:ascii="黑体" w:hAnsi="黑体" w:eastAsia="黑体" w:cs="黑体"/>
          <w:color w:val="auto"/>
          <w:spacing w:val="4"/>
          <w:position w:val="22"/>
          <w:sz w:val="31"/>
          <w:szCs w:val="31"/>
          <w:highlight w:val="none"/>
        </w:rPr>
        <w:t>第九步：</w:t>
      </w:r>
      <w:r>
        <w:rPr>
          <w:rFonts w:ascii="仿宋" w:hAnsi="仿宋" w:eastAsia="仿宋" w:cs="仿宋"/>
          <w:color w:val="auto"/>
          <w:spacing w:val="8"/>
          <w:position w:val="23"/>
          <w:sz w:val="31"/>
          <w:szCs w:val="31"/>
          <w:highlight w:val="none"/>
        </w:rPr>
        <w:t>上传银行回单、填写发票接收邮箱、联系人、</w:t>
      </w:r>
    </w:p>
    <w:p w14:paraId="0FE0BC75">
      <w:pPr>
        <w:spacing w:beforeAutospacing="0" w:afterAutospacing="0" w:line="624" w:lineRule="exact"/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eastAsia="zh-CN"/>
        </w:rPr>
      </w:pPr>
      <w:r>
        <w:rPr>
          <w:rFonts w:ascii="仿宋" w:hAnsi="仿宋" w:eastAsia="仿宋" w:cs="仿宋"/>
          <w:color w:val="auto"/>
          <w:spacing w:val="8"/>
          <w:position w:val="23"/>
          <w:sz w:val="31"/>
          <w:szCs w:val="31"/>
          <w:highlight w:val="none"/>
        </w:rPr>
        <w:t>联系电话，确认无误后保存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eastAsia="zh-CN"/>
        </w:rPr>
        <w:t>。【</w:t>
      </w: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为确保您及时收到会费发票、请在汇款后务必登录系统进行确认】。</w:t>
      </w:r>
    </w:p>
    <w:p w14:paraId="6DCFB420">
      <w:pPr>
        <w:spacing w:beforeAutospacing="0" w:line="5678" w:lineRule="exact"/>
        <w:ind w:firstLine="14"/>
        <w:textAlignment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273040" cy="3605530"/>
            <wp:effectExtent l="0" t="0" r="3810" b="1397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0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97E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afterAutospacing="0" w:line="286" w:lineRule="auto"/>
        <w:ind w:left="17" w:right="289" w:firstLine="0"/>
        <w:jc w:val="both"/>
        <w:textAlignment w:val="baseline"/>
        <w:rPr>
          <w:rFonts w:hint="eastAsia" w:ascii="仿宋" w:hAnsi="仿宋" w:eastAsia="仿宋" w:cs="仿宋"/>
          <w:color w:val="auto"/>
          <w:spacing w:val="-23"/>
          <w:sz w:val="31"/>
          <w:szCs w:val="31"/>
          <w:highlight w:val="none"/>
          <w:lang w:val="en-US" w:eastAsia="zh-CN"/>
        </w:rPr>
      </w:pPr>
    </w:p>
    <w:p w14:paraId="5BF723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24" w:lineRule="exact"/>
        <w:textAlignment w:val="baseline"/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非执业个人会员会费缴费流程如下：</w:t>
      </w:r>
    </w:p>
    <w:p w14:paraId="339A08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24" w:lineRule="exact"/>
        <w:ind w:firstLine="652" w:firstLineChars="200"/>
        <w:textAlignment w:val="baseline"/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非执业个人会员请以个人会员用户登录“综合服务平台”，选择【会费服务】，微信扫码缴纳个人会员会费。</w:t>
      </w:r>
    </w:p>
    <w:p w14:paraId="47CA59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24" w:lineRule="exact"/>
        <w:ind w:firstLine="652" w:firstLineChars="200"/>
        <w:textAlignment w:val="baseline"/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支付后请截图保存付款信息，回到“综合服务平台”【会费服务】界面，点击下方【确认】，上传缴费凭证并填写开票信息。</w:t>
      </w:r>
    </w:p>
    <w:p w14:paraId="439810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24" w:lineRule="exact"/>
        <w:ind w:firstLine="652" w:firstLineChars="200"/>
        <w:textAlignment w:val="baseline"/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我们将在收款次月将电子发票发送至您填写的电子邮箱内。</w:t>
      </w:r>
    </w:p>
    <w:p w14:paraId="47F290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24" w:lineRule="exact"/>
        <w:ind w:firstLine="652" w:firstLineChars="200"/>
        <w:textAlignment w:val="baseline"/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其他单位会员会费缴纳请联系会员服务部；</w:t>
      </w:r>
    </w:p>
    <w:p w14:paraId="574EA5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624" w:lineRule="exact"/>
        <w:ind w:firstLine="652" w:firstLineChars="200"/>
        <w:textAlignment w:val="baseline"/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8"/>
          <w:position w:val="23"/>
          <w:sz w:val="31"/>
          <w:szCs w:val="31"/>
          <w:highlight w:val="none"/>
          <w:lang w:val="en-US" w:eastAsia="zh-CN"/>
        </w:rPr>
        <w:t>如需咨询可加入中估协会籍服务 QQ 群，1群：665218178，2群：922605578。</w:t>
      </w:r>
    </w:p>
    <w:p w14:paraId="1031593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66DD3">
    <w:pPr>
      <w:spacing w:line="187" w:lineRule="auto"/>
      <w:ind w:left="4135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63CD0">
    <w:pPr>
      <w:spacing w:line="188" w:lineRule="auto"/>
      <w:ind w:left="4130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2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106D8"/>
    <w:rsid w:val="2B61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2026-06-03T09:07:00Z</dcterms:created>
  <dc:creator>Eric</dc:creator>
  <cp:lastModifiedBy>Eric</cp:lastModifiedBy>
  <dcterms:modified xsi:type="dcterms:W3CDTF">2026-06-03T09:08:15Z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B4D7E00F55A149BBA9A5C084F07AC1F4_11</vt:lpwstr>
  </property>
  <property fmtid="{D5CDD505-2E9C-101B-9397-08002B2CF9AE}" pid="4" name="KSOTemplateDocerSaveRecord">
    <vt:lpwstr>eyJoZGlkIjoiYzA4MDYxNzk1ZDgwN2NkNDFkZTgzZTYxOWM5MDdlZGQiLCJ1c2VySWQiOiIzOTk3MTkyNTYifQ==</vt:lpwstr>
  </property>
</Properties>
</file>